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jc w:val="center"/>
        <w:rPr>
          <w:rFonts w:ascii="Times New Roman" w:cs="Times New Roman" w:hAnsi="Times New Roman" w:eastAsia="Times New Roman"/>
          <w:sz w:val="24"/>
          <w:szCs w:val="24"/>
        </w:rPr>
      </w:pPr>
      <w:r>
        <w:rPr>
          <w:rFonts w:ascii="Times New Roman"/>
          <w:sz w:val="24"/>
          <w:szCs w:val="24"/>
          <w:rtl w:val="0"/>
        </w:rPr>
        <w:t>Ogden v Gibbons</w:t>
      </w:r>
    </w:p>
    <w:p>
      <w:pPr>
        <w:pStyle w:val="Body"/>
        <w:spacing w:line="480" w:lineRule="auto"/>
        <w:jc w:val="center"/>
        <w:rPr>
          <w:rFonts w:ascii="Times New Roman" w:cs="Times New Roman" w:hAnsi="Times New Roman" w:eastAsia="Times New Roman"/>
          <w:sz w:val="24"/>
          <w:szCs w:val="24"/>
        </w:rPr>
      </w:pPr>
      <w:r>
        <w:rPr>
          <w:rFonts w:ascii="Times New Roman"/>
          <w:sz w:val="24"/>
          <w:szCs w:val="24"/>
          <w:rtl w:val="0"/>
          <w:lang w:val="en-US"/>
        </w:rPr>
        <w:t>Eduardo Quiame</w:t>
      </w:r>
    </w:p>
    <w:p>
      <w:pPr>
        <w:pStyle w:val="Default"/>
        <w:bidi w:val="0"/>
        <w:ind w:left="0" w:right="0" w:firstLine="0"/>
        <w:jc w:val="left"/>
        <w:rPr>
          <w:rFonts w:ascii="Times New Roman" w:cs="Times New Roman" w:hAnsi="Times New Roman" w:eastAsia="Times New Roman"/>
          <w:sz w:val="24"/>
          <w:szCs w:val="24"/>
          <w:rtl w:val="0"/>
        </w:rPr>
      </w:pPr>
      <w:r>
        <w:rPr>
          <w:rFonts w:ascii="Times New Roman"/>
          <w:sz w:val="24"/>
          <w:szCs w:val="24"/>
          <w:rtl w:val="0"/>
          <w:lang w:val="en-US"/>
        </w:rPr>
        <w:t xml:space="preserve">                                                                     </w:t>
      </w:r>
      <w:r>
        <w:rPr>
          <w:rFonts w:ascii="Times New Roman"/>
          <w:sz w:val="24"/>
          <w:szCs w:val="24"/>
          <w:rtl w:val="0"/>
        </w:rPr>
        <w:t>HIS231-05</w:t>
      </w:r>
    </w:p>
    <w:p>
      <w:pPr>
        <w:pStyle w:val="Body"/>
        <w:spacing w:line="480" w:lineRule="auto"/>
        <w:jc w:val="center"/>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rPr>
          <w:rFonts w:ascii="Times New Roman" w:cs="Times New Roman" w:hAnsi="Times New Roman" w:eastAsia="Times New Roman"/>
          <w:b w:val="1"/>
          <w:bCs w:val="1"/>
          <w:sz w:val="24"/>
          <w:szCs w:val="24"/>
        </w:rPr>
      </w:pPr>
    </w:p>
    <w:p>
      <w:pPr>
        <w:pStyle w:val="Body"/>
        <w:spacing w:line="480" w:lineRule="auto"/>
        <w:jc w:val="center"/>
        <w:rPr>
          <w:rFonts w:ascii="Times New Roman" w:cs="Times New Roman" w:hAnsi="Times New Roman" w:eastAsia="Times New Roman"/>
          <w:b w:val="1"/>
          <w:bCs w:val="1"/>
          <w:sz w:val="24"/>
          <w:szCs w:val="24"/>
        </w:rPr>
      </w:pPr>
    </w:p>
    <w:p>
      <w:pPr>
        <w:pStyle w:val="Body"/>
        <w:spacing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rPr>
        <w:t>Ogden v Gibbons</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Ogden v. Gibbons (1824) was a landmark decision of in which the United States</w:t>
      </w:r>
      <w:r>
        <w:rPr>
          <w:rFonts w:hAnsi="Times New Roman" w:hint="default"/>
          <w:sz w:val="24"/>
          <w:szCs w:val="24"/>
          <w:rtl w:val="0"/>
          <w:lang w:val="en-US"/>
        </w:rPr>
        <w:t xml:space="preserve">’ </w:t>
      </w:r>
      <w:r>
        <w:rPr>
          <w:rFonts w:ascii="Times New Roman"/>
          <w:sz w:val="24"/>
          <w:szCs w:val="24"/>
          <w:rtl w:val="0"/>
          <w:lang w:val="en-US"/>
        </w:rPr>
        <w:t>Supreme stated that the power to regulate interstate trade which is granted to congress by the commerce clause (of the US constitution) entailed the power to regulate navigation. This paper explores the Ogden v Gibbons case stating the facts that led to the decision, its significance and impacts.</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Thomas Gibbons who was a steamboat owner bought a license from the Livingstone and Fulton formed a partnership with Aaron Ogden, a partnership that collapsed three years later. Thomas Gibbons did business between New York and New Jersey under a federal coastal license (Marshall, 1824). The break up happened when Gibbons started to operate another steamboat on a New York route which belonged to Ogden. This led to Ogden filing a case against Gibbons asking the court to restrain Gibbons from operating on these routes. The Supreme Court ruled in favor of Gibbons citing that Congress had the right to regulate interstate commerce (Baxter, Gibbons &amp; Ogden, 1972).</w:t>
      </w:r>
      <w:r>
        <w:rPr>
          <w:rFonts w:hAnsi="Times New Roman" w:hint="default"/>
          <w:sz w:val="24"/>
          <w:szCs w:val="24"/>
          <w:rtl w:val="0"/>
          <w:lang w:val="en-US"/>
        </w:rPr>
        <w:t> </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The significance of this decision by the Supreme Court is that it allowed merchants to trade freely between different states. It is the congress that had power to regulate interstate commerce using the Commerce Clause. The decision meant that regulation of steamboat operators for the purpose of interstate commerce was a power reserved by the Congress under the Commerce Clause (Schoeppner, 2009).. Another significance of the decision is that it allowed consumers and producers to buy and sell products under uniform rules (Congress).</w:t>
      </w:r>
    </w:p>
    <w:p>
      <w:pPr>
        <w:pStyle w:val="Body"/>
        <w:spacing w:line="480" w:lineRule="auto"/>
        <w:ind w:firstLine="720"/>
        <w:rPr>
          <w:rFonts w:ascii="Times New Roman" w:cs="Times New Roman" w:hAnsi="Times New Roman" w:eastAsia="Times New Roman"/>
          <w:sz w:val="24"/>
          <w:szCs w:val="24"/>
        </w:rPr>
      </w:pPr>
      <w:r>
        <w:rPr>
          <w:rFonts w:ascii="Times New Roman"/>
          <w:sz w:val="24"/>
          <w:szCs w:val="24"/>
          <w:rtl w:val="0"/>
          <w:lang w:val="en-US"/>
        </w:rPr>
        <w:t>The impacts of the decision is that it served as a precedent of similar cases later. For example, the court in Wickard v. Filburn held that the Commerce Clause gave power to the Congress to regulate intrastate trading activities if such activities affected interstate commerce (Johnson, 2010). It also impacted trading activities among different states. States were free to trade with each other because navigation by steamboat operators was regulated by the Congress (Abel, 1946). This meant that the states could not interfere with the power of Congress to regulate commerce. Trading activities was made uniform among the residents of the different states.</w:t>
      </w: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ind w:firstLine="720"/>
        <w:rPr>
          <w:rFonts w:ascii="Times New Roman" w:cs="Times New Roman" w:hAnsi="Times New Roman" w:eastAsia="Times New Roman"/>
          <w:sz w:val="24"/>
          <w:szCs w:val="24"/>
        </w:rPr>
      </w:pPr>
    </w:p>
    <w:p>
      <w:pPr>
        <w:pStyle w:val="Body"/>
        <w:spacing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References</w:t>
      </w:r>
    </w:p>
    <w:p>
      <w:pPr>
        <w:pStyle w:val="Body"/>
        <w:spacing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Abel, A. S. (1946). Commerce Regulation before Gibbons v. Ogden: Interstate Transportation Enterprise.</w:t>
      </w:r>
      <w:r>
        <w:rPr>
          <w:rFonts w:hAnsi="Times New Roman" w:hint="default"/>
          <w:sz w:val="24"/>
          <w:szCs w:val="24"/>
          <w:rtl w:val="0"/>
          <w:lang w:val="en-US"/>
        </w:rPr>
        <w:t> </w:t>
      </w:r>
      <w:r>
        <w:rPr>
          <w:rFonts w:ascii="Times New Roman"/>
          <w:i w:val="1"/>
          <w:iCs w:val="1"/>
          <w:sz w:val="24"/>
          <w:szCs w:val="24"/>
          <w:rtl w:val="0"/>
        </w:rPr>
        <w:t>Miss. LJ</w:t>
      </w:r>
      <w:r>
        <w:rPr>
          <w:rFonts w:ascii="Times New Roman"/>
          <w:sz w:val="24"/>
          <w:szCs w:val="24"/>
          <w:rtl w:val="0"/>
        </w:rPr>
        <w:t>,</w:t>
      </w:r>
      <w:r>
        <w:rPr>
          <w:rFonts w:hAnsi="Times New Roman" w:hint="default"/>
          <w:sz w:val="24"/>
          <w:szCs w:val="24"/>
          <w:rtl w:val="0"/>
          <w:lang w:val="en-US"/>
        </w:rPr>
        <w:t> </w:t>
      </w:r>
      <w:r>
        <w:rPr>
          <w:rFonts w:ascii="Times New Roman"/>
          <w:i w:val="1"/>
          <w:iCs w:val="1"/>
          <w:sz w:val="24"/>
          <w:szCs w:val="24"/>
          <w:rtl w:val="0"/>
        </w:rPr>
        <w:t>18</w:t>
      </w:r>
      <w:r>
        <w:rPr>
          <w:rFonts w:ascii="Times New Roman"/>
          <w:sz w:val="24"/>
          <w:szCs w:val="24"/>
          <w:rtl w:val="0"/>
        </w:rPr>
        <w:t>, 335.</w:t>
      </w:r>
    </w:p>
    <w:p>
      <w:pPr>
        <w:pStyle w:val="Body"/>
        <w:spacing w:line="480" w:lineRule="auto"/>
        <w:ind w:left="720" w:hanging="720"/>
        <w:rPr>
          <w:rFonts w:ascii="Times New Roman" w:cs="Times New Roman" w:hAnsi="Times New Roman" w:eastAsia="Times New Roman"/>
          <w:sz w:val="24"/>
          <w:szCs w:val="24"/>
        </w:rPr>
      </w:pPr>
      <w:r>
        <w:rPr>
          <w:rFonts w:ascii="Times New Roman"/>
          <w:sz w:val="24"/>
          <w:szCs w:val="24"/>
          <w:rtl w:val="0"/>
          <w:lang w:val="nl-NL"/>
        </w:rPr>
        <w:t>Baxter, M. G., GibbonS, T., &amp; Ogden, A. (1972).</w:t>
      </w:r>
      <w:r>
        <w:rPr>
          <w:rFonts w:hAnsi="Times New Roman" w:hint="default"/>
          <w:sz w:val="24"/>
          <w:szCs w:val="24"/>
          <w:rtl w:val="0"/>
          <w:lang w:val="en-US"/>
        </w:rPr>
        <w:t> </w:t>
      </w:r>
      <w:r>
        <w:rPr>
          <w:rFonts w:ascii="Times New Roman"/>
          <w:i w:val="1"/>
          <w:iCs w:val="1"/>
          <w:sz w:val="24"/>
          <w:szCs w:val="24"/>
          <w:rtl w:val="0"/>
          <w:lang w:val="en-US"/>
        </w:rPr>
        <w:t>The Steamboat Monopoly. Gittons V. Ogden, 1824</w:t>
      </w:r>
      <w:r>
        <w:rPr>
          <w:rFonts w:ascii="Times New Roman"/>
          <w:sz w:val="24"/>
          <w:szCs w:val="24"/>
          <w:rtl w:val="0"/>
          <w:lang w:val="da-DK"/>
        </w:rPr>
        <w:t>. Alfred A. Knopf.</w:t>
      </w:r>
    </w:p>
    <w:p>
      <w:pPr>
        <w:pStyle w:val="Body"/>
        <w:spacing w:line="480" w:lineRule="auto"/>
        <w:ind w:left="720" w:hanging="720"/>
        <w:rPr>
          <w:rFonts w:ascii="Times New Roman" w:cs="Times New Roman" w:hAnsi="Times New Roman" w:eastAsia="Times New Roman"/>
          <w:sz w:val="24"/>
          <w:szCs w:val="24"/>
        </w:rPr>
      </w:pPr>
      <w:r>
        <w:rPr>
          <w:rFonts w:ascii="Times New Roman"/>
          <w:sz w:val="24"/>
          <w:szCs w:val="24"/>
          <w:rtl w:val="0"/>
        </w:rPr>
        <w:t>Johnson, H. A. (2010).</w:t>
      </w:r>
      <w:r>
        <w:rPr>
          <w:rFonts w:hAnsi="Times New Roman" w:hint="default"/>
          <w:sz w:val="24"/>
          <w:szCs w:val="24"/>
          <w:rtl w:val="0"/>
          <w:lang w:val="en-US"/>
        </w:rPr>
        <w:t> </w:t>
      </w:r>
      <w:r>
        <w:rPr>
          <w:rFonts w:ascii="Times New Roman"/>
          <w:i w:val="1"/>
          <w:iCs w:val="1"/>
          <w:sz w:val="24"/>
          <w:szCs w:val="24"/>
          <w:rtl w:val="0"/>
          <w:lang w:val="en-US"/>
        </w:rPr>
        <w:t>Gibbons v. Ogden: John Marshall, steamboats, and the commerce clause</w:t>
      </w:r>
      <w:r>
        <w:rPr>
          <w:rFonts w:ascii="Times New Roman"/>
          <w:sz w:val="24"/>
          <w:szCs w:val="24"/>
          <w:rtl w:val="0"/>
          <w:lang w:val="en-US"/>
        </w:rPr>
        <w:t>. Univ Pr of Kansas.</w:t>
      </w:r>
    </w:p>
    <w:p>
      <w:pPr>
        <w:pStyle w:val="Body"/>
        <w:spacing w:line="480" w:lineRule="auto"/>
        <w:ind w:left="720" w:hanging="720"/>
        <w:rPr>
          <w:rFonts w:ascii="Arial" w:cs="Arial" w:hAnsi="Arial" w:eastAsia="Arial"/>
          <w:color w:val="222222"/>
          <w:sz w:val="20"/>
          <w:szCs w:val="20"/>
          <w:u w:color="222222"/>
          <w:shd w:val="clear" w:color="auto" w:fill="ffffff"/>
        </w:rPr>
      </w:pPr>
      <w:r>
        <w:rPr>
          <w:rFonts w:ascii="Times New Roman"/>
          <w:sz w:val="24"/>
          <w:szCs w:val="24"/>
          <w:rtl w:val="0"/>
          <w:lang w:val="sv-SE"/>
        </w:rPr>
        <w:t>Marshall, J. (1824). Gibbons v. Ogden.</w:t>
      </w:r>
      <w:r>
        <w:rPr>
          <w:rFonts w:hAnsi="Times New Roman" w:hint="default"/>
          <w:sz w:val="24"/>
          <w:szCs w:val="24"/>
          <w:rtl w:val="0"/>
          <w:lang w:val="en-US"/>
        </w:rPr>
        <w:t> </w:t>
      </w:r>
      <w:r>
        <w:rPr>
          <w:rFonts w:ascii="Times New Roman"/>
          <w:i w:val="1"/>
          <w:iCs w:val="1"/>
          <w:sz w:val="24"/>
          <w:szCs w:val="24"/>
          <w:rtl w:val="0"/>
          <w:lang w:val="it-IT"/>
        </w:rPr>
        <w:t>Joseph P. Cotton, Jr.[</w:t>
      </w:r>
      <w:r>
        <w:rPr>
          <w:rFonts w:hAnsi="Times New Roman" w:hint="default"/>
          <w:i w:val="1"/>
          <w:iCs w:val="1"/>
          <w:sz w:val="24"/>
          <w:szCs w:val="24"/>
          <w:rtl w:val="0"/>
          <w:lang w:val="en-US"/>
        </w:rPr>
        <w:t>é</w:t>
      </w:r>
      <w:r>
        <w:rPr>
          <w:rFonts w:ascii="Times New Roman"/>
          <w:i w:val="1"/>
          <w:iCs w:val="1"/>
          <w:sz w:val="24"/>
          <w:szCs w:val="24"/>
          <w:rtl w:val="0"/>
          <w:lang w:val="en-US"/>
        </w:rPr>
        <w:t>d.], The Constitutional Decisions of John Marshall</w:t>
      </w:r>
      <w:r>
        <w:rPr>
          <w:rFonts w:ascii="Times New Roman"/>
          <w:sz w:val="24"/>
          <w:szCs w:val="24"/>
          <w:rtl w:val="0"/>
        </w:rPr>
        <w:t>, 36-83.</w:t>
      </w:r>
      <w:r>
        <w:rPr>
          <w:rFonts w:ascii="Arial"/>
          <w:color w:val="222222"/>
          <w:sz w:val="20"/>
          <w:szCs w:val="20"/>
          <w:u w:color="222222"/>
          <w:shd w:val="clear" w:color="auto" w:fill="ffffff"/>
          <w:rtl w:val="0"/>
        </w:rPr>
        <w:t xml:space="preserve"> </w:t>
      </w:r>
    </w:p>
    <w:p>
      <w:pPr>
        <w:pStyle w:val="Body"/>
        <w:spacing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Schoeppner, M. (2009). Legitimating Quarantine: Moral Contagions, the Commerce Clause, and the Limits of Gibbons v. Ogden.</w:t>
      </w:r>
      <w:r>
        <w:rPr>
          <w:rFonts w:hAnsi="Times New Roman" w:hint="default"/>
          <w:sz w:val="24"/>
          <w:szCs w:val="24"/>
          <w:rtl w:val="0"/>
          <w:lang w:val="en-US"/>
        </w:rPr>
        <w:t> </w:t>
      </w:r>
      <w:r>
        <w:rPr>
          <w:rFonts w:ascii="Times New Roman"/>
          <w:i w:val="1"/>
          <w:iCs w:val="1"/>
          <w:sz w:val="24"/>
          <w:szCs w:val="24"/>
          <w:rtl w:val="0"/>
        </w:rPr>
        <w:t>JS Legal Hist.</w:t>
      </w:r>
      <w:r>
        <w:rPr>
          <w:rFonts w:ascii="Times New Roman"/>
          <w:sz w:val="24"/>
          <w:szCs w:val="24"/>
          <w:rtl w:val="0"/>
        </w:rPr>
        <w:t>,</w:t>
      </w:r>
      <w:r>
        <w:rPr>
          <w:rFonts w:hAnsi="Times New Roman" w:hint="default"/>
          <w:sz w:val="24"/>
          <w:szCs w:val="24"/>
          <w:rtl w:val="0"/>
          <w:lang w:val="en-US"/>
        </w:rPr>
        <w:t> </w:t>
      </w:r>
      <w:r>
        <w:rPr>
          <w:rFonts w:ascii="Times New Roman"/>
          <w:i w:val="1"/>
          <w:iCs w:val="1"/>
          <w:sz w:val="24"/>
          <w:szCs w:val="24"/>
          <w:rtl w:val="0"/>
        </w:rPr>
        <w:t>17</w:t>
      </w:r>
      <w:r>
        <w:rPr>
          <w:rFonts w:ascii="Times New Roman"/>
          <w:sz w:val="24"/>
          <w:szCs w:val="24"/>
          <w:rtl w:val="0"/>
        </w:rPr>
        <w:t>, 81.</w:t>
      </w:r>
    </w:p>
    <w:p>
      <w:pPr>
        <w:pStyle w:val="Body"/>
        <w:spacing w:line="480" w:lineRule="auto"/>
        <w:ind w:left="720" w:hanging="720"/>
        <w:jc w:val="center"/>
        <w:rPr>
          <w:rFonts w:ascii="Times New Roman" w:cs="Times New Roman" w:hAnsi="Times New Roman" w:eastAsia="Times New Roman"/>
          <w:b w:val="1"/>
          <w:bCs w:val="1"/>
          <w:sz w:val="24"/>
          <w:szCs w:val="24"/>
        </w:rPr>
      </w:pPr>
      <w:r>
        <w:rPr>
          <w:rFonts w:ascii="Times New Roman"/>
          <w:b w:val="1"/>
          <w:bCs w:val="1"/>
          <w:sz w:val="24"/>
          <w:szCs w:val="24"/>
          <w:rtl w:val="0"/>
        </w:rPr>
        <w:t>Websites</w:t>
      </w:r>
    </w:p>
    <w:p>
      <w:pPr>
        <w:pStyle w:val="Body"/>
        <w:rPr>
          <w:rFonts w:ascii="Times New Roman" w:cs="Times New Roman" w:hAnsi="Times New Roman" w:eastAsia="Times New Roman"/>
          <w:sz w:val="24"/>
          <w:szCs w:val="24"/>
        </w:rPr>
      </w:pPr>
      <w:hyperlink r:id="rId4" w:history="1">
        <w:r>
          <w:rPr>
            <w:rStyle w:val="Hyperlink.0"/>
            <w:rFonts w:ascii="Times New Roman"/>
            <w:sz w:val="24"/>
            <w:szCs w:val="24"/>
            <w:rtl w:val="0"/>
          </w:rPr>
          <w:t>https://www.britannica.com/event/Gibbons-v-Ogden</w:t>
        </w:r>
      </w:hyperlink>
    </w:p>
    <w:p>
      <w:pPr>
        <w:pStyle w:val="Body"/>
        <w:rPr>
          <w:rFonts w:ascii="Times New Roman" w:cs="Times New Roman" w:hAnsi="Times New Roman" w:eastAsia="Times New Roman"/>
          <w:sz w:val="24"/>
          <w:szCs w:val="24"/>
        </w:rPr>
      </w:pPr>
      <w:hyperlink r:id="rId5" w:history="1">
        <w:r>
          <w:rPr>
            <w:rStyle w:val="Hyperlink.0"/>
            <w:rFonts w:ascii="Times New Roman"/>
            <w:sz w:val="24"/>
            <w:szCs w:val="24"/>
            <w:rtl w:val="0"/>
            <w:lang w:val="en-US"/>
          </w:rPr>
          <w:t>https://www.oyez.org/cases/1789-1850/22us1</w:t>
        </w:r>
      </w:hyperlink>
    </w:p>
    <w:p>
      <w:pPr>
        <w:pStyle w:val="Body"/>
      </w:pPr>
      <w:hyperlink r:id="rId6" w:history="1">
        <w:r>
          <w:rPr>
            <w:rStyle w:val="Hyperlink.0"/>
            <w:rFonts w:ascii="Times New Roman"/>
            <w:sz w:val="24"/>
            <w:szCs w:val="24"/>
            <w:rtl w:val="0"/>
            <w:lang w:val="en-US"/>
          </w:rPr>
          <w:t>https://www.thirteen.org/wnet/supremecourt/antebellum/landmark_gibbons.html</w:t>
        </w:r>
      </w:hyperlink>
    </w:p>
    <w:sectPr>
      <w:headerReference w:type="default" r:id="rId7"/>
      <w:headerReference w:type="first" r:id="rId8"/>
      <w:footerReference w:type="default" r:id="rId9"/>
      <w:footerReference w:type="first" r:id="rId10"/>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jc w:val="right"/>
    </w:pPr>
    <w:r>
      <w:rPr>
        <w:rFonts w:ascii="Times New Roman"/>
        <w:sz w:val="24"/>
        <w:szCs w:val="24"/>
        <w:rtl w:val="0"/>
        <w:lang w:val="en-US"/>
      </w:rPr>
      <w:t xml:space="preserve">OGDEN V GIBBONS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t xml:space="preserve"> PAGE </w: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4</w:t>
    </w:r>
    <w:r>
      <w:rPr>
        <w:rFonts w:ascii="Times New Roman" w:cs="Times New Roman" w:hAnsi="Times New Roman" w:eastAsia="Times New Roman"/>
        <w:sz w:val="24"/>
        <w:szCs w:val="24"/>
        <w:rtl w:val="0"/>
      </w:rPr>
      <w:fldChar w:fldCharType="end" w:fldLock="0"/>
    </w:r>
    <w:r>
      <w:rPr>
        <w:rFonts w:ascii="Times New Roman"/>
        <w:sz w:val="24"/>
        <w:szCs w:val="24"/>
        <w:rtl w:val="0"/>
        <w:lang w:val="en-US"/>
      </w:rPr>
      <w:t xml:space="preserve">  </w:t>
    </w:r>
    <w:r>
      <w:rPr>
        <w:rFonts w:ascii="Times New Roman" w:cs="Times New Roman" w:hAnsi="Times New Roman" w:eastAsia="Times New Roman"/>
        <w:sz w:val="24"/>
        <w:szCs w:val="24"/>
      </w:r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rPr>
        <w:rFonts w:ascii="Times New Roman" w:cs="Times New Roman" w:hAnsi="Times New Roman" w:eastAsia="Times New Roman"/>
        <w:sz w:val="24"/>
        <w:szCs w:val="24"/>
        <w:rtl w:val="0"/>
      </w:rPr>
    </w:pPr>
    <w:r>
      <w:rPr>
        <w:rFonts w:ascii="Trebuchet MS"/>
        <w:rtl w:val="0"/>
        <w:lang w:val="en-US"/>
      </w:rPr>
      <w:t xml:space="preserve">Running head: </w:t>
    </w:r>
    <w:r>
      <w:rPr>
        <w:rFonts w:ascii="Times New Roman"/>
        <w:sz w:val="24"/>
        <w:szCs w:val="24"/>
        <w:rtl w:val="0"/>
        <w:lang w:val="en-US"/>
      </w:rPr>
      <w:t>OGDEN V GIBBONS                                                                                              1</w:t>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Link">
    <w:name w:val="Link"/>
    <w:rPr>
      <w:color w:val="0563c1"/>
      <w:u w:val="single" w:color="0563c1"/>
    </w:rPr>
  </w:style>
  <w:style w:type="character" w:styleId="Hyperlink.0">
    <w:name w:val="Hyperlink.0"/>
    <w:basedOn w:val="Link"/>
    <w:next w:val="Hyperlink.0"/>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www.britannica.com/event/Gibbons-v-Ogden" TargetMode="External"/><Relationship Id="rId5" Type="http://schemas.openxmlformats.org/officeDocument/2006/relationships/hyperlink" Target="https://www.oyez.org/cases/1789-1850/22us1" TargetMode="External"/><Relationship Id="rId6" Type="http://schemas.openxmlformats.org/officeDocument/2006/relationships/hyperlink" Target="https://www.thirteen.org/wnet/supremecourt/antebellum/landmark_gibbons.html"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7916"/>
          </a:lnSpc>
          <a:spcBef>
            <a:spcPts val="8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